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9457F3" w:rsidRPr="009457F3" w:rsidRDefault="009457F3" w:rsidP="009457F3">
            <w:pPr>
              <w:jc w:val="center"/>
              <w:rPr>
                <w:rFonts w:ascii="Times New Roman" w:hAnsi="Times New Roman"/>
                <w:b/>
                <w:sz w:val="24"/>
                <w:szCs w:val="24"/>
                <w:lang w:val="kk-KZ"/>
              </w:rPr>
            </w:pPr>
            <w:r>
              <w:rPr>
                <w:rFonts w:ascii="Times New Roman" w:hAnsi="Times New Roman"/>
                <w:b/>
                <w:sz w:val="28"/>
                <w:szCs w:val="28"/>
                <w:lang w:val="kk-KZ"/>
              </w:rPr>
              <w:t xml:space="preserve"> </w:t>
            </w:r>
            <w:r w:rsidRPr="009457F3">
              <w:rPr>
                <w:rFonts w:ascii="Times New Roman" w:hAnsi="Times New Roman"/>
                <w:b/>
                <w:sz w:val="24"/>
                <w:szCs w:val="24"/>
                <w:lang w:val="kk-KZ"/>
              </w:rPr>
              <w:t>Кеден ісі саласында қызметтер атқарушы тұлғалардың құқықтық жағдайы</w:t>
            </w:r>
          </w:p>
          <w:p w:rsidR="00862090" w:rsidRPr="00A426E7" w:rsidRDefault="00862090" w:rsidP="00810DF1">
            <w:pPr>
              <w:autoSpaceDE w:val="0"/>
              <w:autoSpaceDN w:val="0"/>
              <w:adjustRightInd w:val="0"/>
              <w:jc w:val="center"/>
              <w:rPr>
                <w:rFonts w:ascii="Times New Roman" w:hAnsi="Times New Roman" w:cs="Times New Roman"/>
                <w:b/>
                <w:lang w:val="kk-KZ"/>
              </w:rPr>
            </w:pPr>
          </w:p>
          <w:p w:rsidR="00862090" w:rsidRPr="00A426E7" w:rsidRDefault="00411E74"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sidR="00EB74F9">
              <w:rPr>
                <w:rFonts w:ascii="Times New Roman" w:hAnsi="Times New Roman" w:cs="Times New Roman"/>
                <w:b/>
                <w:lang w:val="kk-KZ"/>
              </w:rPr>
              <w:t>8</w:t>
            </w:r>
            <w:r>
              <w:rPr>
                <w:rFonts w:ascii="Times New Roman" w:hAnsi="Times New Roman" w:cs="Times New Roman"/>
                <w:b/>
              </w:rPr>
              <w:t>-201</w:t>
            </w:r>
            <w:r w:rsidR="00EB74F9">
              <w:rPr>
                <w:rFonts w:ascii="Times New Roman" w:hAnsi="Times New Roman" w:cs="Times New Roman"/>
                <w:b/>
                <w:lang w:val="en-US"/>
              </w:rPr>
              <w:t>9</w:t>
            </w:r>
            <w:r w:rsidR="009457F3">
              <w:rPr>
                <w:rFonts w:ascii="Times New Roman" w:hAnsi="Times New Roman" w:cs="Times New Roman"/>
                <w:b/>
              </w:rPr>
              <w:t xml:space="preserve"> </w:t>
            </w:r>
            <w:proofErr w:type="spellStart"/>
            <w:r w:rsidR="009457F3">
              <w:rPr>
                <w:rFonts w:ascii="Times New Roman" w:hAnsi="Times New Roman" w:cs="Times New Roman"/>
                <w:b/>
              </w:rPr>
              <w:t>оқу</w:t>
            </w:r>
            <w:proofErr w:type="spellEnd"/>
            <w:r w:rsidR="009457F3">
              <w:rPr>
                <w:rFonts w:ascii="Times New Roman" w:hAnsi="Times New Roman" w:cs="Times New Roman"/>
                <w:b/>
              </w:rPr>
              <w:t xml:space="preserve"> </w:t>
            </w:r>
            <w:proofErr w:type="spellStart"/>
            <w:r w:rsidR="009457F3">
              <w:rPr>
                <w:rFonts w:ascii="Times New Roman" w:hAnsi="Times New Roman" w:cs="Times New Roman"/>
                <w:b/>
              </w:rPr>
              <w:t>жылының</w:t>
            </w:r>
            <w:proofErr w:type="spellEnd"/>
            <w:r w:rsidR="009457F3">
              <w:rPr>
                <w:rFonts w:ascii="Times New Roman" w:hAnsi="Times New Roman" w:cs="Times New Roman"/>
                <w:b/>
              </w:rPr>
              <w:t xml:space="preserve"> к</w:t>
            </w:r>
            <w:r w:rsidR="009457F3">
              <w:rPr>
                <w:rFonts w:ascii="Times New Roman" w:hAnsi="Times New Roman" w:cs="Times New Roman"/>
                <w:b/>
                <w:lang w:val="kk-KZ"/>
              </w:rPr>
              <w:t>өктемгі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Лаб</w:t>
            </w:r>
            <w:proofErr w:type="spell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9457F3" w:rsidRPr="009457F3" w:rsidRDefault="009457F3" w:rsidP="009457F3">
            <w:pPr>
              <w:jc w:val="center"/>
              <w:rPr>
                <w:rFonts w:ascii="Times New Roman" w:hAnsi="Times New Roman"/>
                <w:sz w:val="24"/>
                <w:szCs w:val="24"/>
                <w:lang w:val="kk-KZ"/>
              </w:rPr>
            </w:pPr>
            <w:r w:rsidRPr="009457F3">
              <w:rPr>
                <w:rFonts w:ascii="Times New Roman" w:hAnsi="Times New Roman"/>
                <w:sz w:val="24"/>
                <w:szCs w:val="24"/>
                <w:lang w:val="kk-KZ"/>
              </w:rPr>
              <w:t>Кеден ісі саласында қызметтер атқарушы тұлғалардың құқықтық жағдайы</w:t>
            </w:r>
          </w:p>
          <w:p w:rsidR="00862090" w:rsidRPr="00A426E7" w:rsidRDefault="00862090" w:rsidP="00810DF1">
            <w:pPr>
              <w:autoSpaceDE w:val="0"/>
              <w:autoSpaceDN w:val="0"/>
              <w:adjustRightInd w:val="0"/>
              <w:rPr>
                <w:rFonts w:ascii="Times New Roman" w:hAnsi="Times New Roman" w:cs="Times New Roman"/>
                <w:lang w:val="kk-KZ"/>
              </w:rPr>
            </w:pP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Дәріс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EB74F9" w:rsidP="00810DF1">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w:t>
            </w:r>
            <w:bookmarkStart w:id="0" w:name="_GoBack"/>
            <w:bookmarkEnd w:id="0"/>
            <w:r w:rsidR="00F052BE" w:rsidRPr="00A426E7">
              <w:rPr>
                <w:rFonts w:ascii="Times New Roman" w:hAnsi="Times New Roman" w:cs="Times New Roman"/>
                <w:lang w:val="kk-KZ"/>
              </w:rPr>
              <w:t xml:space="preserve">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EB74F9" w:rsidRDefault="00F052BE" w:rsidP="00810DF1">
            <w:pPr>
              <w:autoSpaceDE w:val="0"/>
              <w:autoSpaceDN w:val="0"/>
              <w:adjustRightInd w:val="0"/>
              <w:rPr>
                <w:rFonts w:ascii="Times New Roman" w:hAnsi="Times New Roman" w:cs="Times New Roman"/>
              </w:rPr>
            </w:pPr>
            <w:proofErr w:type="spellStart"/>
            <w:r w:rsidRPr="00A426E7">
              <w:rPr>
                <w:rFonts w:ascii="Times New Roman" w:hAnsi="Times New Roman" w:cs="Times New Roman"/>
                <w:lang w:val="en-US"/>
              </w:rPr>
              <w:t>kozhabek</w:t>
            </w:r>
            <w:proofErr w:type="spellEnd"/>
            <w:r w:rsidRPr="00EB74F9">
              <w:rPr>
                <w:rFonts w:ascii="Times New Roman" w:hAnsi="Times New Roman" w:cs="Times New Roman"/>
              </w:rPr>
              <w:t>-@</w:t>
            </w:r>
            <w:r w:rsidRPr="00A426E7">
              <w:rPr>
                <w:rFonts w:ascii="Times New Roman" w:hAnsi="Times New Roman" w:cs="Times New Roman"/>
                <w:lang w:val="en-US"/>
              </w:rPr>
              <w:t>mail</w:t>
            </w:r>
            <w:r w:rsidRPr="00EB74F9">
              <w:rPr>
                <w:rFonts w:ascii="Times New Roman" w:hAnsi="Times New Roman" w:cs="Times New Roman"/>
              </w:rPr>
              <w:t>.</w:t>
            </w:r>
            <w:proofErr w:type="spellStart"/>
            <w:r w:rsidRPr="00A426E7">
              <w:rPr>
                <w:rFonts w:ascii="Times New Roman" w:hAnsi="Times New Roman" w:cs="Times New Roman"/>
                <w:lang w:val="en-US"/>
              </w:rPr>
              <w:t>ru</w:t>
            </w:r>
            <w:proofErr w:type="spellEnd"/>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EB74F9"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proofErr w:type="spellStart"/>
            <w:r w:rsidRPr="00A426E7">
              <w:rPr>
                <w:rStyle w:val="shorttext"/>
                <w:rFonts w:ascii="Times New Roman" w:hAnsi="Times New Roman" w:cs="Times New Roman"/>
                <w:b/>
              </w:rPr>
              <w:t>Пәннің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EB74F9"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w:t>
            </w:r>
            <w:r w:rsidR="00411E74">
              <w:rPr>
                <w:rFonts w:ascii="Times New Roman" w:hAnsi="Times New Roman" w:cs="Times New Roman"/>
                <w:color w:val="000000" w:themeColor="text1"/>
                <w:lang w:val="kk-KZ"/>
              </w:rPr>
              <w:t>) 2017</w:t>
            </w:r>
            <w:r w:rsidRPr="00A426E7">
              <w:rPr>
                <w:rFonts w:ascii="Times New Roman" w:hAnsi="Times New Roman" w:cs="Times New Roman"/>
                <w:color w:val="000000" w:themeColor="text1"/>
                <w:lang w:val="kk-KZ"/>
              </w:rPr>
              <w:t xml:space="preserve"> жылғы 27 қарашадағы шешімімен</w:t>
            </w:r>
            <w:r w:rsidR="00411E74">
              <w:rPr>
                <w:rFonts w:ascii="Times New Roman" w:hAnsi="Times New Roman" w:cs="Times New Roman"/>
                <w:color w:val="000000" w:themeColor="text1"/>
                <w:lang w:val="kk-KZ"/>
              </w:rPr>
              <w:t>. 201</w:t>
            </w:r>
            <w:r w:rsidR="00411E74">
              <w:rPr>
                <w:rFonts w:ascii="Times New Roman" w:hAnsi="Times New Roman" w:cs="Times New Roman"/>
                <w:color w:val="000000" w:themeColor="text1"/>
                <w:lang w:val="en-US"/>
              </w:rPr>
              <w:t>8</w:t>
            </w:r>
            <w:r w:rsidR="00411E74">
              <w:rPr>
                <w:rFonts w:ascii="Times New Roman" w:hAnsi="Times New Roman" w:cs="Times New Roman"/>
                <w:color w:val="000000" w:themeColor="text1"/>
                <w:lang w:val="kk-KZ"/>
              </w:rPr>
              <w:t xml:space="preserve"> жылғы 1 қаңтардан </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sidRPr="00A426E7">
              <w:rPr>
                <w:rStyle w:val="s3"/>
                <w:color w:val="000000" w:themeColor="text1"/>
                <w:sz w:val="22"/>
                <w:szCs w:val="22"/>
                <w:lang w:val="kk-KZ"/>
              </w:rPr>
              <w:t xml:space="preserve">(2008.31.12. берілген </w:t>
            </w:r>
            <w:r w:rsidR="00411E74">
              <w:fldChar w:fldCharType="begin"/>
            </w:r>
            <w:r w:rsidR="00411E74" w:rsidRPr="00411E74">
              <w:rPr>
                <w:lang w:val="kk-KZ"/>
              </w:rPr>
              <w:instrText xml:space="preserve"> HYPERLINK "jl:30006577.0%20" </w:instrText>
            </w:r>
            <w:r w:rsidR="00411E74">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411E74">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EB74F9"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6"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lastRenderedPageBreak/>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EB74F9"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EB74F9"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EB74F9"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lastRenderedPageBreak/>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009457F3">
              <w:rPr>
                <w:rFonts w:ascii="Times New Roman" w:hAnsi="Times New Roman" w:cs="Times New Roman"/>
                <w:lang w:val="kk-KZ"/>
              </w:rPr>
              <w:t xml:space="preserve"> </w:t>
            </w:r>
            <w:r w:rsidR="009457F3" w:rsidRPr="003B5B60">
              <w:rPr>
                <w:rFonts w:ascii="Times New Roman" w:hAnsi="Times New Roman"/>
                <w:sz w:val="28"/>
                <w:szCs w:val="28"/>
                <w:lang w:val="kk-KZ"/>
              </w:rPr>
              <w:t xml:space="preserve"> </w:t>
            </w:r>
            <w:r w:rsidR="009457F3" w:rsidRPr="009457F3">
              <w:rPr>
                <w:rFonts w:ascii="Times New Roman" w:hAnsi="Times New Roman"/>
                <w:sz w:val="24"/>
                <w:szCs w:val="24"/>
                <w:lang w:val="kk-KZ"/>
              </w:rPr>
              <w:t>ҚР кеден органдарының жүйесі және олардың құқықтық мәртебесі.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C44E5F"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00C44E5F" w:rsidRPr="009457F3">
              <w:rPr>
                <w:rFonts w:ascii="Times New Roman" w:hAnsi="Times New Roman"/>
                <w:sz w:val="24"/>
                <w:szCs w:val="24"/>
                <w:lang w:val="kk-KZ"/>
              </w:rPr>
              <w:t>ҚР кеден органдарының жүйесі және олардың құқықтық мәртебесі.</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C44E5F"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C44E5F" w:rsidRDefault="00F052BE"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b/>
                <w:sz w:val="24"/>
                <w:szCs w:val="24"/>
                <w:lang w:val="kk-KZ"/>
              </w:rPr>
              <w:t>2 дәріс.</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органдарының кеден ісі саласында сыртқыэкономикалық қызметтерді жүзеге асырушы тұлғалармен ара-қатынасын құқықтық реттеу .</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C44E5F"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C44E5F" w:rsidRDefault="00F052BE" w:rsidP="009071ED">
            <w:pPr>
              <w:spacing w:after="0" w:line="240" w:lineRule="auto"/>
              <w:rPr>
                <w:rFonts w:ascii="Times New Roman" w:hAnsi="Times New Roman" w:cs="Times New Roman"/>
                <w:b/>
                <w:sz w:val="24"/>
                <w:szCs w:val="24"/>
                <w:lang w:val="kk-KZ"/>
              </w:rPr>
            </w:pPr>
            <w:r w:rsidRPr="00C44E5F">
              <w:rPr>
                <w:rFonts w:ascii="Times New Roman" w:hAnsi="Times New Roman" w:cs="Times New Roman"/>
                <w:b/>
                <w:sz w:val="24"/>
                <w:szCs w:val="24"/>
                <w:lang w:val="kk-KZ"/>
              </w:rPr>
              <w:t xml:space="preserve">Семинар. </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органдарының кеден ісі саласында сыртқыэкономикалық қызметтерді жүзеге асырушы тұлғалармен ара-қатынасын құқықтық реттеу .</w:t>
            </w:r>
          </w:p>
        </w:tc>
        <w:tc>
          <w:tcPr>
            <w:tcW w:w="1843" w:type="dxa"/>
            <w:gridSpan w:val="6"/>
          </w:tcPr>
          <w:p w:rsidR="00F052BE" w:rsidRPr="00C44E5F"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C44E5F"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C44E5F" w:rsidRDefault="00F052BE"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b/>
                <w:sz w:val="24"/>
                <w:szCs w:val="24"/>
                <w:lang w:val="kk-KZ"/>
              </w:rPr>
              <w:t>3 дәріс.</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өкілі. Кеден өкілінің құқықтары және міндеттері. Кеден өкілінің жауапкершілігі.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C44E5F" w:rsidRDefault="00F052BE" w:rsidP="009071ED">
            <w:pPr>
              <w:spacing w:after="0" w:line="240" w:lineRule="auto"/>
              <w:rPr>
                <w:rFonts w:ascii="Times New Roman" w:hAnsi="Times New Roman" w:cs="Times New Roman"/>
                <w:b/>
                <w:sz w:val="24"/>
                <w:szCs w:val="24"/>
                <w:lang w:val="kk-KZ"/>
              </w:rPr>
            </w:pPr>
            <w:r w:rsidRPr="00C44E5F">
              <w:rPr>
                <w:rFonts w:ascii="Times New Roman" w:hAnsi="Times New Roman" w:cs="Times New Roman"/>
                <w:b/>
                <w:sz w:val="24"/>
                <w:szCs w:val="24"/>
                <w:lang w:val="kk-KZ"/>
              </w:rPr>
              <w:t>Семинар.</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өкілі. Кеден өкілінің құқықтары және міндеттері. Кеден өкілінің жауапкершілігі.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C44E5F" w:rsidRDefault="00A426E7"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b/>
                <w:sz w:val="24"/>
                <w:szCs w:val="24"/>
                <w:lang w:val="kk-KZ"/>
              </w:rPr>
              <w:t xml:space="preserve">4 дәріс. </w:t>
            </w:r>
            <w:r w:rsidR="00C44E5F" w:rsidRPr="00C44E5F">
              <w:rPr>
                <w:rFonts w:ascii="Times New Roman" w:hAnsi="Times New Roman"/>
                <w:sz w:val="24"/>
                <w:szCs w:val="24"/>
                <w:lang w:val="kk-KZ"/>
              </w:rPr>
              <w:t>Кедендік тасымалдаушы. Кедендік тасымалдаушыны кедендік тасымалдаушы тізіліміне енгізу шарттары. Кедендік тасымалдаушының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457F3"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sz w:val="24"/>
                <w:szCs w:val="24"/>
                <w:lang w:val="kk-KZ"/>
              </w:rPr>
              <w:t>Семинар</w:t>
            </w:r>
            <w:r w:rsidR="00C44E5F" w:rsidRPr="00C44E5F">
              <w:rPr>
                <w:rFonts w:ascii="Times New Roman" w:hAnsi="Times New Roman"/>
                <w:sz w:val="24"/>
                <w:szCs w:val="24"/>
                <w:lang w:val="kk-KZ"/>
              </w:rPr>
              <w:t xml:space="preserve"> Кедендік тасымалдаушы. Кедендік тасымалдаушыны кедендік тасымалдаушы тізіліміне енгізу шарттары. Кедендік тасымалдаушының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C44E5F" w:rsidRDefault="00A426E7" w:rsidP="009071ED">
            <w:pPr>
              <w:pStyle w:val="a9"/>
              <w:spacing w:after="0"/>
              <w:rPr>
                <w:b/>
                <w:lang w:val="kk-KZ"/>
              </w:rPr>
            </w:pPr>
            <w:r w:rsidRPr="00C44E5F">
              <w:rPr>
                <w:b/>
                <w:lang w:val="kk-KZ"/>
              </w:rPr>
              <w:t xml:space="preserve">5 Дәріс. </w:t>
            </w:r>
            <w:r w:rsidR="00C44E5F" w:rsidRPr="00C44E5F">
              <w:rPr>
                <w:lang w:val="kk-KZ"/>
              </w:rPr>
              <w:t>Уақытша сақтау қоймасының иесі.Оның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457F3"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pStyle w:val="a9"/>
              <w:spacing w:after="0"/>
              <w:rPr>
                <w:lang w:val="kk-KZ"/>
              </w:rPr>
            </w:pPr>
            <w:r w:rsidRPr="00C44E5F">
              <w:rPr>
                <w:lang w:val="kk-KZ"/>
              </w:rPr>
              <w:t xml:space="preserve">Семинар. </w:t>
            </w:r>
            <w:r w:rsidR="00C44E5F" w:rsidRPr="00C44E5F">
              <w:rPr>
                <w:lang w:val="kk-KZ"/>
              </w:rPr>
              <w:t>Уақытша сақтау қоймасының иесі.Оның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9457F3"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C44E5F" w:rsidRDefault="00A426E7" w:rsidP="009071ED">
            <w:pPr>
              <w:pStyle w:val="a7"/>
              <w:rPr>
                <w:b/>
                <w:lang w:val="kk-KZ"/>
              </w:rPr>
            </w:pPr>
            <w:r w:rsidRPr="00C44E5F">
              <w:rPr>
                <w:b/>
                <w:lang w:val="kk-KZ"/>
              </w:rPr>
              <w:t xml:space="preserve">6 Дәріс. </w:t>
            </w:r>
            <w:r w:rsidR="00C44E5F" w:rsidRPr="00C44E5F">
              <w:rPr>
                <w:lang w:val="kk-KZ"/>
              </w:rPr>
              <w:t>Кеден қоймасының иесі. Оның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457F3"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pStyle w:val="a7"/>
              <w:rPr>
                <w:b/>
                <w:lang w:val="kk-KZ"/>
              </w:rPr>
            </w:pPr>
            <w:r w:rsidRPr="00C44E5F">
              <w:rPr>
                <w:lang w:val="kk-KZ"/>
              </w:rPr>
              <w:t xml:space="preserve">Семинар. </w:t>
            </w:r>
            <w:r w:rsidR="00C44E5F" w:rsidRPr="00C44E5F">
              <w:rPr>
                <w:lang w:val="kk-KZ"/>
              </w:rPr>
              <w:t>Кеден қоймасының иесі. Оның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C44E5F" w:rsidRDefault="00A426E7" w:rsidP="009071ED">
            <w:pPr>
              <w:pStyle w:val="a9"/>
              <w:tabs>
                <w:tab w:val="center" w:pos="3578"/>
              </w:tabs>
              <w:spacing w:after="0"/>
              <w:rPr>
                <w:b/>
                <w:caps/>
                <w:lang w:val="kk-KZ"/>
              </w:rPr>
            </w:pPr>
            <w:r w:rsidRPr="00C44E5F">
              <w:rPr>
                <w:b/>
                <w:caps/>
                <w:lang w:val="kk-KZ"/>
              </w:rPr>
              <w:t>7 д</w:t>
            </w:r>
            <w:r w:rsidRPr="00C44E5F">
              <w:rPr>
                <w:b/>
                <w:lang w:val="kk-KZ"/>
              </w:rPr>
              <w:t xml:space="preserve">әріс. </w:t>
            </w:r>
            <w:r w:rsidR="00C44E5F" w:rsidRPr="00C44E5F">
              <w:rPr>
                <w:lang w:val="kk-KZ"/>
              </w:rPr>
              <w:t>Бажсыз сауда дүкені иесі. Оның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C44E5F" w:rsidP="00C44E5F">
            <w:pPr>
              <w:pStyle w:val="a4"/>
              <w:tabs>
                <w:tab w:val="left" w:pos="426"/>
              </w:tabs>
              <w:autoSpaceDE w:val="0"/>
              <w:autoSpaceDN w:val="0"/>
              <w:adjustRightInd w:val="0"/>
              <w:ind w:left="0"/>
              <w:contextualSpacing w:val="0"/>
              <w:rPr>
                <w:rFonts w:ascii="Times New Roman" w:hAnsi="Times New Roman" w:cs="Times New Roman"/>
                <w:b/>
                <w:lang w:val="en-US"/>
              </w:rPr>
            </w:pPr>
            <w:r>
              <w:rPr>
                <w:rFonts w:ascii="Times New Roman" w:hAnsi="Times New Roman" w:cs="Times New Roman"/>
                <w:b/>
                <w:lang w:val="kk-KZ"/>
              </w:rPr>
              <w:t xml:space="preserve">                      </w:t>
            </w:r>
            <w:r w:rsidR="00A426E7" w:rsidRPr="00A426E7">
              <w:rPr>
                <w:rFonts w:ascii="Times New Roman" w:hAnsi="Times New Roman" w:cs="Times New Roman"/>
                <w:b/>
                <w:lang w:val="en-US"/>
              </w:rPr>
              <w:t>6</w:t>
            </w:r>
          </w:p>
        </w:tc>
      </w:tr>
      <w:tr w:rsidR="00A426E7" w:rsidRPr="009457F3"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pStyle w:val="a9"/>
              <w:tabs>
                <w:tab w:val="center" w:pos="3578"/>
              </w:tabs>
              <w:spacing w:after="0"/>
              <w:rPr>
                <w:b/>
                <w:caps/>
                <w:lang w:val="kk-KZ"/>
              </w:rPr>
            </w:pPr>
            <w:r w:rsidRPr="00C44E5F">
              <w:rPr>
                <w:b/>
                <w:lang w:val="kk-KZ"/>
              </w:rPr>
              <w:t xml:space="preserve">Семинар. </w:t>
            </w:r>
            <w:r w:rsidR="00C44E5F" w:rsidRPr="00C44E5F">
              <w:rPr>
                <w:lang w:val="kk-KZ"/>
              </w:rPr>
              <w:t>Бажсыз сауда дүкені иесі. Оның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9457F3"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 xml:space="preserve">1 </w:t>
            </w:r>
            <w:proofErr w:type="spellStart"/>
            <w:r w:rsidRPr="00A426E7">
              <w:rPr>
                <w:b/>
                <w:sz w:val="22"/>
                <w:szCs w:val="22"/>
              </w:rPr>
              <w:t>Аралық</w:t>
            </w:r>
            <w:proofErr w:type="spellEnd"/>
            <w:r w:rsidRPr="00A426E7">
              <w:rPr>
                <w:b/>
                <w:sz w:val="22"/>
                <w:szCs w:val="22"/>
              </w:rPr>
              <w:t xml:space="preserve"> </w:t>
            </w:r>
            <w:proofErr w:type="spellStart"/>
            <w:r w:rsidRPr="00A426E7">
              <w:rPr>
                <w:b/>
                <w:sz w:val="22"/>
                <w:szCs w:val="22"/>
              </w:rPr>
              <w:t>бақылау</w:t>
            </w:r>
            <w:proofErr w:type="spellEnd"/>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10345B" w:rsidRDefault="00A426E7" w:rsidP="009071ED">
            <w:pPr>
              <w:spacing w:after="0" w:line="240" w:lineRule="auto"/>
              <w:rPr>
                <w:rFonts w:ascii="Times New Roman" w:hAnsi="Times New Roman" w:cs="Times New Roman"/>
                <w:sz w:val="24"/>
                <w:szCs w:val="24"/>
                <w:lang w:val="kk-KZ"/>
              </w:rPr>
            </w:pPr>
            <w:r w:rsidRPr="0010345B">
              <w:rPr>
                <w:rFonts w:ascii="Times New Roman" w:hAnsi="Times New Roman" w:cs="Times New Roman"/>
                <w:b/>
                <w:sz w:val="24"/>
                <w:szCs w:val="24"/>
                <w:lang w:val="kk-KZ"/>
              </w:rPr>
              <w:t>8 дәріс.</w:t>
            </w:r>
            <w:r w:rsidRPr="0010345B">
              <w:rPr>
                <w:rFonts w:ascii="Times New Roman" w:hAnsi="Times New Roman" w:cs="Times New Roman"/>
                <w:sz w:val="24"/>
                <w:szCs w:val="24"/>
                <w:lang w:val="kk-KZ"/>
              </w:rPr>
              <w:t xml:space="preserve"> </w:t>
            </w:r>
            <w:r w:rsidR="0010345B" w:rsidRPr="0010345B">
              <w:rPr>
                <w:rFonts w:ascii="Times New Roman" w:hAnsi="Times New Roman"/>
                <w:sz w:val="24"/>
                <w:szCs w:val="24"/>
                <w:lang w:val="kk-KZ"/>
              </w:rPr>
              <w:t>Уәкілетті кедендік оператор. Оның құқықтары мен міндеттері.</w:t>
            </w:r>
            <w:r w:rsidRPr="0010345B">
              <w:rPr>
                <w:rFonts w:ascii="Times New Roman" w:hAnsi="Times New Roman" w:cs="Times New Roman"/>
                <w:sz w:val="24"/>
                <w:szCs w:val="24"/>
                <w:lang w:val="kk-KZ"/>
              </w:rPr>
              <w:t>.</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10345B" w:rsidRDefault="00A426E7" w:rsidP="0010345B">
            <w:pPr>
              <w:spacing w:after="0" w:line="240" w:lineRule="auto"/>
              <w:rPr>
                <w:rFonts w:ascii="Times New Roman" w:hAnsi="Times New Roman" w:cs="Times New Roman"/>
                <w:sz w:val="24"/>
                <w:szCs w:val="24"/>
                <w:lang w:val="kk-KZ"/>
              </w:rPr>
            </w:pPr>
            <w:r w:rsidRPr="0010345B">
              <w:rPr>
                <w:rFonts w:ascii="Times New Roman" w:hAnsi="Times New Roman" w:cs="Times New Roman"/>
                <w:b/>
                <w:sz w:val="24"/>
                <w:szCs w:val="24"/>
                <w:lang w:val="kk-KZ"/>
              </w:rPr>
              <w:t xml:space="preserve">Семинар.  </w:t>
            </w:r>
            <w:r w:rsidRPr="0010345B">
              <w:rPr>
                <w:rFonts w:ascii="Times New Roman" w:hAnsi="Times New Roman" w:cs="Times New Roman"/>
                <w:sz w:val="24"/>
                <w:szCs w:val="24"/>
                <w:lang w:val="kk-KZ"/>
              </w:rPr>
              <w:t>тәртібі.</w:t>
            </w:r>
            <w:r w:rsidR="0010345B" w:rsidRPr="0010345B">
              <w:rPr>
                <w:rFonts w:ascii="Times New Roman" w:hAnsi="Times New Roman"/>
                <w:sz w:val="24"/>
                <w:szCs w:val="24"/>
                <w:lang w:val="kk-KZ"/>
              </w:rPr>
              <w:t xml:space="preserve"> Уәкілетті кедендік оператор. Оның құқықтары мен міндеттері.</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D42F02" w:rsidRDefault="00A426E7" w:rsidP="009071ED">
            <w:pPr>
              <w:spacing w:after="0" w:line="240" w:lineRule="auto"/>
              <w:rPr>
                <w:rFonts w:ascii="Times New Roman" w:hAnsi="Times New Roman" w:cs="Times New Roman"/>
                <w:sz w:val="24"/>
                <w:szCs w:val="24"/>
                <w:lang w:val="kk-KZ"/>
              </w:rPr>
            </w:pPr>
            <w:r w:rsidRPr="00D42F02">
              <w:rPr>
                <w:rFonts w:ascii="Times New Roman" w:hAnsi="Times New Roman" w:cs="Times New Roman"/>
                <w:b/>
                <w:sz w:val="24"/>
                <w:szCs w:val="24"/>
                <w:lang w:val="kk-KZ"/>
              </w:rPr>
              <w:t>9 дәріс.</w:t>
            </w:r>
            <w:r w:rsidRPr="00D42F02">
              <w:rPr>
                <w:rFonts w:ascii="Times New Roman" w:hAnsi="Times New Roman" w:cs="Times New Roman"/>
                <w:sz w:val="24"/>
                <w:szCs w:val="24"/>
                <w:lang w:val="kk-KZ"/>
              </w:rPr>
              <w:t xml:space="preserve"> </w:t>
            </w:r>
            <w:r w:rsidR="00D42F02" w:rsidRPr="00D42F02">
              <w:rPr>
                <w:rFonts w:ascii="Times New Roman" w:hAnsi="Times New Roman"/>
                <w:sz w:val="24"/>
                <w:szCs w:val="24"/>
                <w:lang w:val="kk-KZ"/>
              </w:rPr>
              <w:t>Кеден органдарының шет елдерінің кеден және басқа да органдармен және халықаралық ұйымдармен жұмысы</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D42F02" w:rsidRDefault="00A426E7" w:rsidP="009071ED">
            <w:pPr>
              <w:spacing w:after="0" w:line="240" w:lineRule="auto"/>
              <w:rPr>
                <w:rFonts w:ascii="Times New Roman" w:hAnsi="Times New Roman" w:cs="Times New Roman"/>
                <w:sz w:val="24"/>
                <w:szCs w:val="24"/>
                <w:lang w:val="kk-KZ"/>
              </w:rPr>
            </w:pPr>
            <w:r w:rsidRPr="00D42F02">
              <w:rPr>
                <w:rFonts w:ascii="Times New Roman" w:hAnsi="Times New Roman" w:cs="Times New Roman"/>
                <w:b/>
                <w:sz w:val="24"/>
                <w:szCs w:val="24"/>
                <w:lang w:val="kk-KZ"/>
              </w:rPr>
              <w:t>Семинар.</w:t>
            </w:r>
            <w:r w:rsidRPr="00D42F02">
              <w:rPr>
                <w:rFonts w:ascii="Times New Roman" w:hAnsi="Times New Roman" w:cs="Times New Roman"/>
                <w:sz w:val="24"/>
                <w:szCs w:val="24"/>
                <w:lang w:val="kk-KZ"/>
              </w:rPr>
              <w:t xml:space="preserve"> </w:t>
            </w:r>
            <w:r w:rsidR="00D42F02" w:rsidRPr="00D42F02">
              <w:rPr>
                <w:rFonts w:ascii="Times New Roman" w:hAnsi="Times New Roman"/>
                <w:sz w:val="24"/>
                <w:szCs w:val="24"/>
                <w:lang w:val="kk-KZ"/>
              </w:rPr>
              <w:t>Кеден органдарының шет елдерінің кеден және басқа да органдармен және халықаралық ұйымдармен жұмысы</w:t>
            </w:r>
          </w:p>
        </w:tc>
        <w:tc>
          <w:tcPr>
            <w:tcW w:w="1843" w:type="dxa"/>
            <w:gridSpan w:val="6"/>
          </w:tcPr>
          <w:p w:rsidR="00A426E7" w:rsidRPr="00D42F0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9457F3" w:rsidRDefault="00A426E7" w:rsidP="009071ED">
            <w:pPr>
              <w:spacing w:after="0" w:line="240" w:lineRule="auto"/>
              <w:jc w:val="center"/>
              <w:rPr>
                <w:rFonts w:ascii="Times New Roman" w:hAnsi="Times New Roman" w:cs="Times New Roman"/>
                <w:b/>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lastRenderedPageBreak/>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6F60B9">
        <w:rPr>
          <w:rFonts w:ascii="Times New Roman" w:hAnsi="Times New Roman" w:cs="Times New Roman"/>
          <w:lang w:val="kk-KZ"/>
        </w:rPr>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6F60B9">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EB74F9">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10345B"/>
    <w:rsid w:val="002E6447"/>
    <w:rsid w:val="00411E74"/>
    <w:rsid w:val="004F5DF2"/>
    <w:rsid w:val="005C0247"/>
    <w:rsid w:val="006F60B9"/>
    <w:rsid w:val="0077018F"/>
    <w:rsid w:val="00862090"/>
    <w:rsid w:val="009457F3"/>
    <w:rsid w:val="0095540B"/>
    <w:rsid w:val="009F2BF2"/>
    <w:rsid w:val="00A330E6"/>
    <w:rsid w:val="00A426E7"/>
    <w:rsid w:val="00A5732A"/>
    <w:rsid w:val="00B51428"/>
    <w:rsid w:val="00C062D1"/>
    <w:rsid w:val="00C44E5F"/>
    <w:rsid w:val="00C47173"/>
    <w:rsid w:val="00D42F02"/>
    <w:rsid w:val="00D927FC"/>
    <w:rsid w:val="00EB74F9"/>
    <w:rsid w:val="00F052BE"/>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68B27B"/>
  <w15:docId w15:val="{E3F2527A-7977-4427-B8F7-1FBE4BB6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Пользователь Windows</cp:lastModifiedBy>
  <cp:revision>3</cp:revision>
  <dcterms:created xsi:type="dcterms:W3CDTF">2018-07-02T04:47:00Z</dcterms:created>
  <dcterms:modified xsi:type="dcterms:W3CDTF">2018-07-02T04:48:00Z</dcterms:modified>
</cp:coreProperties>
</file>